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2592E8AE"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r w:rsidR="00771E48">
        <w:rPr>
          <w:rFonts w:ascii="Arial" w:hAnsi="Arial" w:cs="Arial"/>
          <w:b/>
          <w:sz w:val="28"/>
          <w:szCs w:val="28"/>
        </w:rPr>
        <w:t xml:space="preserve"> – </w:t>
      </w:r>
      <w:r w:rsidR="00771E48" w:rsidRPr="00771E48">
        <w:rPr>
          <w:rFonts w:ascii="Arial" w:hAnsi="Arial" w:cs="Arial"/>
          <w:b/>
        </w:rPr>
        <w:t>Adopted by Stoke Trister with Bayford Parish Council 08/05/25</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162B04C8"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r w:rsidR="00112BB9" w:rsidRPr="009F1AF9">
        <w:rPr>
          <w:rFonts w:ascii="Arial" w:hAnsi="Arial" w:cs="Arial"/>
        </w:rPr>
        <w:t>delegation,</w:t>
      </w:r>
      <w:r w:rsidRPr="009F1AF9">
        <w:rPr>
          <w:rFonts w:ascii="Arial" w:hAnsi="Arial" w:cs="Arial"/>
        </w:rPr>
        <w:t xml:space="preserve"> and some make all decisions at full council meetings.  Many now use online payment methods, but others still rely on cheques.</w:t>
      </w:r>
    </w:p>
    <w:p w14:paraId="0610EE0E" w14:textId="7802056C"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r w:rsidR="00112BB9" w:rsidRPr="009F1AF9">
        <w:rPr>
          <w:rFonts w:ascii="Arial" w:hAnsi="Arial" w:cs="Arial"/>
        </w:rPr>
        <w:t>applicable or</w:t>
      </w:r>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3C700003" w:rsidR="00202E2D" w:rsidRPr="009F1AF9" w:rsidRDefault="00E053E1" w:rsidP="009F1AF9">
      <w:pPr>
        <w:rPr>
          <w:rFonts w:ascii="Arial" w:hAnsi="Arial" w:cs="Arial"/>
        </w:rPr>
      </w:pPr>
      <w:r w:rsidRPr="009F1AF9">
        <w:rPr>
          <w:rFonts w:ascii="Arial" w:hAnsi="Arial" w:cs="Arial"/>
        </w:rPr>
        <w:br w:type="page"/>
      </w:r>
      <w:r w:rsidR="008809FA">
        <w:rPr>
          <w:rFonts w:ascii="Arial" w:hAnsi="Arial" w:cs="Arial"/>
        </w:rPr>
        <w:lastRenderedPageBreak/>
        <w:t xml:space="preserve">STOKE TRISTER WITH BAYFORD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61100A11"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8809FA">
              <w:rPr>
                <w:noProof/>
                <w:webHidden/>
              </w:rPr>
              <w:t>5</w:t>
            </w:r>
            <w:r w:rsidR="002B40EB">
              <w:rPr>
                <w:noProof/>
                <w:webHidden/>
              </w:rPr>
              <w:fldChar w:fldCharType="end"/>
            </w:r>
          </w:hyperlink>
        </w:p>
        <w:p w14:paraId="7D7419AD" w14:textId="327C7F0E"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8809FA">
              <w:rPr>
                <w:noProof/>
                <w:webHidden/>
              </w:rPr>
              <w:t>6</w:t>
            </w:r>
            <w:r>
              <w:rPr>
                <w:noProof/>
                <w:webHidden/>
              </w:rPr>
              <w:fldChar w:fldCharType="end"/>
            </w:r>
          </w:hyperlink>
        </w:p>
        <w:p w14:paraId="6A0A0C8A" w14:textId="72D9BBA0"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8809FA">
              <w:rPr>
                <w:noProof/>
                <w:webHidden/>
              </w:rPr>
              <w:t>7</w:t>
            </w:r>
            <w:r>
              <w:rPr>
                <w:noProof/>
                <w:webHidden/>
              </w:rPr>
              <w:fldChar w:fldCharType="end"/>
            </w:r>
          </w:hyperlink>
        </w:p>
        <w:p w14:paraId="1E8FEC5E" w14:textId="63626762"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8809FA">
              <w:rPr>
                <w:noProof/>
                <w:webHidden/>
              </w:rPr>
              <w:t>8</w:t>
            </w:r>
            <w:r>
              <w:rPr>
                <w:noProof/>
                <w:webHidden/>
              </w:rPr>
              <w:fldChar w:fldCharType="end"/>
            </w:r>
          </w:hyperlink>
        </w:p>
        <w:p w14:paraId="126B8AA6" w14:textId="16C18B2D"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8809FA">
              <w:rPr>
                <w:noProof/>
                <w:webHidden/>
              </w:rPr>
              <w:t>9</w:t>
            </w:r>
            <w:r>
              <w:rPr>
                <w:noProof/>
                <w:webHidden/>
              </w:rPr>
              <w:fldChar w:fldCharType="end"/>
            </w:r>
          </w:hyperlink>
        </w:p>
        <w:p w14:paraId="42B2B422" w14:textId="4BA8B40A"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8809FA">
              <w:rPr>
                <w:noProof/>
                <w:webHidden/>
              </w:rPr>
              <w:t>11</w:t>
            </w:r>
            <w:r>
              <w:rPr>
                <w:noProof/>
                <w:webHidden/>
              </w:rPr>
              <w:fldChar w:fldCharType="end"/>
            </w:r>
          </w:hyperlink>
        </w:p>
        <w:p w14:paraId="5CB54E2C" w14:textId="4FA58AFC"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8809FA">
              <w:rPr>
                <w:noProof/>
                <w:webHidden/>
              </w:rPr>
              <w:t>12</w:t>
            </w:r>
            <w:r>
              <w:rPr>
                <w:noProof/>
                <w:webHidden/>
              </w:rPr>
              <w:fldChar w:fldCharType="end"/>
            </w:r>
          </w:hyperlink>
        </w:p>
        <w:p w14:paraId="3284D550" w14:textId="3526B075"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8809FA">
              <w:rPr>
                <w:noProof/>
                <w:webHidden/>
              </w:rPr>
              <w:t>14</w:t>
            </w:r>
            <w:r>
              <w:rPr>
                <w:noProof/>
                <w:webHidden/>
              </w:rPr>
              <w:fldChar w:fldCharType="end"/>
            </w:r>
          </w:hyperlink>
        </w:p>
        <w:p w14:paraId="2CF8240C" w14:textId="11FA376A"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8809FA">
              <w:rPr>
                <w:noProof/>
                <w:webHidden/>
              </w:rPr>
              <w:t>14</w:t>
            </w:r>
            <w:r>
              <w:rPr>
                <w:noProof/>
                <w:webHidden/>
              </w:rPr>
              <w:fldChar w:fldCharType="end"/>
            </w:r>
          </w:hyperlink>
        </w:p>
        <w:p w14:paraId="468BACDC" w14:textId="126714DF"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8809FA">
              <w:rPr>
                <w:noProof/>
                <w:webHidden/>
              </w:rPr>
              <w:t>14</w:t>
            </w:r>
            <w:r>
              <w:rPr>
                <w:noProof/>
                <w:webHidden/>
              </w:rPr>
              <w:fldChar w:fldCharType="end"/>
            </w:r>
          </w:hyperlink>
        </w:p>
        <w:p w14:paraId="77735F37" w14:textId="4BF307FD"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8809FA">
              <w:rPr>
                <w:noProof/>
                <w:webHidden/>
              </w:rPr>
              <w:t>15</w:t>
            </w:r>
            <w:r>
              <w:rPr>
                <w:noProof/>
                <w:webHidden/>
              </w:rPr>
              <w:fldChar w:fldCharType="end"/>
            </w:r>
          </w:hyperlink>
        </w:p>
        <w:p w14:paraId="2018C562" w14:textId="4B099E9F"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8809FA">
              <w:rPr>
                <w:noProof/>
                <w:webHidden/>
              </w:rPr>
              <w:t>15</w:t>
            </w:r>
            <w:r>
              <w:rPr>
                <w:noProof/>
                <w:webHidden/>
              </w:rPr>
              <w:fldChar w:fldCharType="end"/>
            </w:r>
          </w:hyperlink>
        </w:p>
        <w:p w14:paraId="7158F293" w14:textId="50ED1A62"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8809FA">
              <w:rPr>
                <w:noProof/>
                <w:webHidden/>
              </w:rPr>
              <w:t>16</w:t>
            </w:r>
            <w:r>
              <w:rPr>
                <w:noProof/>
                <w:webHidden/>
              </w:rPr>
              <w:fldChar w:fldCharType="end"/>
            </w:r>
          </w:hyperlink>
        </w:p>
        <w:p w14:paraId="7C5EF785" w14:textId="05E71A34"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8809FA">
              <w:rPr>
                <w:noProof/>
                <w:webHidden/>
              </w:rPr>
              <w:t>16</w:t>
            </w:r>
            <w:r>
              <w:rPr>
                <w:noProof/>
                <w:webHidden/>
              </w:rPr>
              <w:fldChar w:fldCharType="end"/>
            </w:r>
          </w:hyperlink>
        </w:p>
        <w:p w14:paraId="624AAEE9" w14:textId="211D0C63"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8809FA">
              <w:rPr>
                <w:noProof/>
                <w:webHidden/>
              </w:rPr>
              <w:t>17</w:t>
            </w:r>
            <w:r>
              <w:rPr>
                <w:noProof/>
                <w:webHidden/>
              </w:rPr>
              <w:fldChar w:fldCharType="end"/>
            </w:r>
          </w:hyperlink>
        </w:p>
        <w:p w14:paraId="66251BC0" w14:textId="70838D3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8809FA">
              <w:rPr>
                <w:noProof/>
                <w:webHidden/>
              </w:rPr>
              <w:t>17</w:t>
            </w:r>
            <w:r>
              <w:rPr>
                <w:noProof/>
                <w:webHidden/>
              </w:rPr>
              <w:fldChar w:fldCharType="end"/>
            </w:r>
          </w:hyperlink>
        </w:p>
        <w:p w14:paraId="38A67F4C" w14:textId="2136D5DA"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8809FA">
              <w:rPr>
                <w:noProof/>
                <w:webHidden/>
              </w:rPr>
              <w:t>17</w:t>
            </w:r>
            <w:r>
              <w:rPr>
                <w:noProof/>
                <w:webHidden/>
              </w:rPr>
              <w:fldChar w:fldCharType="end"/>
            </w:r>
          </w:hyperlink>
        </w:p>
        <w:p w14:paraId="666E6BB0" w14:textId="33BB5171"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8809FA">
              <w:rPr>
                <w:noProof/>
                <w:webHidden/>
              </w:rPr>
              <w:t>18</w:t>
            </w:r>
            <w:r>
              <w:rPr>
                <w:noProof/>
                <w:webHidden/>
              </w:rPr>
              <w:fldChar w:fldCharType="end"/>
            </w:r>
          </w:hyperlink>
        </w:p>
        <w:p w14:paraId="35261A0D" w14:textId="361D99B2"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8809FA">
              <w:rPr>
                <w:noProof/>
                <w:webHidden/>
              </w:rPr>
              <w:t>18</w:t>
            </w:r>
            <w:r>
              <w:rPr>
                <w:noProof/>
                <w:webHidden/>
              </w:rPr>
              <w:fldChar w:fldCharType="end"/>
            </w:r>
          </w:hyperlink>
        </w:p>
        <w:p w14:paraId="11C239C5" w14:textId="51281CD9"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8809FA">
              <w:rPr>
                <w:noProof/>
                <w:webHidden/>
              </w:rPr>
              <w:t>19</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9B0C18B"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8809FA">
        <w:rPr>
          <w:rFonts w:ascii="Arial" w:hAnsi="Arial" w:cs="Arial"/>
        </w:rPr>
        <w:t>08/05/2025.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CFDAD9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C9071D">
        <w:rPr>
          <w:rFonts w:ascii="Arial" w:hAnsi="Arial" w:cs="Arial"/>
        </w:rPr>
        <w:t>.</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37E047E"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Pr="00C9071D">
        <w:rPr>
          <w:rFonts w:ascii="Arial" w:hAnsi="Arial" w:cs="Arial"/>
          <w:highlight w:val="yellow"/>
        </w:rPr>
        <w:t>£5,000;</w:t>
      </w:r>
      <w:r w:rsidRPr="009F1AF9">
        <w:rPr>
          <w:rFonts w:ascii="Arial" w:hAnsi="Arial" w:cs="Arial"/>
        </w:rPr>
        <w:t xml:space="preserve">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A6A51BA"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 Finance Committee.</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2A65CCB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A854E3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8809FA">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w:t>
      </w:r>
      <w:r w:rsidR="008809FA">
        <w:rPr>
          <w:rFonts w:ascii="Arial" w:eastAsia="Calibri" w:hAnsi="Arial" w:cs="Arial"/>
        </w:rPr>
        <w:t xml:space="preserve">RFO. </w:t>
      </w:r>
      <w:r w:rsidR="00955295" w:rsidRPr="009F1AF9">
        <w:rPr>
          <w:rFonts w:ascii="Arial" w:eastAsia="Calibri" w:hAnsi="Arial" w:cs="Arial"/>
        </w:rPr>
        <w:t>The RFO will inform committees of any salary implications before they consider their draft budgets.</w:t>
      </w:r>
    </w:p>
    <w:p w14:paraId="2D28879B" w14:textId="0095787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8809FA">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w:t>
      </w:r>
      <w:r w:rsidR="008809FA">
        <w:rPr>
          <w:rFonts w:ascii="Arial" w:eastAsia="Calibri" w:hAnsi="Arial" w:cs="Arial"/>
        </w:rPr>
        <w:t xml:space="preserve"> </w:t>
      </w:r>
      <w:r w:rsidRPr="009F1AF9">
        <w:rPr>
          <w:rFonts w:ascii="Arial" w:eastAsia="Calibri" w:hAnsi="Arial" w:cs="Arial"/>
        </w:rPr>
        <w:t xml:space="preserve">for the following financial year </w:t>
      </w:r>
      <w:r w:rsidR="008809FA">
        <w:rPr>
          <w:rFonts w:ascii="Arial" w:eastAsia="Calibri" w:hAnsi="Arial" w:cs="Arial"/>
        </w:rPr>
        <w:t xml:space="preserve">, </w:t>
      </w:r>
      <w:r w:rsidRPr="009F1AF9">
        <w:rPr>
          <w:rFonts w:ascii="Arial" w:eastAsia="Calibri" w:hAnsi="Arial" w:cs="Arial"/>
        </w:rPr>
        <w:t>taking account of the lifespan of assets and cost implications of repair or replacement.</w:t>
      </w:r>
    </w:p>
    <w:p w14:paraId="06E71B1B" w14:textId="65BB8E2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5F236CA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8809FA">
        <w:rPr>
          <w:rFonts w:ascii="Arial" w:eastAsia="Calibri" w:hAnsi="Arial" w:cs="Arial"/>
        </w:rPr>
        <w:t>October</w:t>
      </w:r>
      <w:r w:rsidRPr="009F1AF9">
        <w:rPr>
          <w:rFonts w:ascii="Arial" w:eastAsia="Calibri" w:hAnsi="Arial" w:cs="Arial"/>
        </w:rPr>
        <w:t xml:space="preserve"> each year. </w:t>
      </w:r>
    </w:p>
    <w:p w14:paraId="1BCAB99E" w14:textId="4947AFA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w:t>
      </w:r>
      <w:r w:rsidR="008809FA">
        <w:rPr>
          <w:rFonts w:ascii="Arial" w:eastAsia="Calibri" w:hAnsi="Arial" w:cs="Arial"/>
        </w:rPr>
        <w:t>)</w:t>
      </w:r>
      <w:r w:rsidRPr="009F1AF9">
        <w:rPr>
          <w:rFonts w:ascii="Arial" w:eastAsia="Calibri" w:hAnsi="Arial" w:cs="Arial"/>
        </w:rPr>
        <w:t xml:space="preserve"> forecast, including any recommendations for the use or accumulation of reserves, shall be considered by the </w:t>
      </w:r>
      <w:r w:rsidR="008809FA">
        <w:rPr>
          <w:rFonts w:ascii="Arial" w:eastAsia="Calibri" w:hAnsi="Arial" w:cs="Arial"/>
        </w:rPr>
        <w:t xml:space="preserve">full </w:t>
      </w:r>
      <w:r w:rsidRPr="009F1AF9">
        <w:rPr>
          <w:rFonts w:ascii="Arial" w:eastAsia="Calibri" w:hAnsi="Arial" w:cs="Arial"/>
        </w:rPr>
        <w:t>council.</w:t>
      </w:r>
    </w:p>
    <w:p w14:paraId="73030839" w14:textId="2EAF4F5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EC12C6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5091FDD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8809FA">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288524C"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8809FA">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4A1D7DE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4C4388C"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648299C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D22E75" w:rsidRPr="00DB7D41">
        <w:rPr>
          <w:rFonts w:ascii="Arial" w:hAnsi="Arial" w:cs="Arial"/>
          <w:highlight w:val="yellow"/>
        </w:rPr>
        <w:t>£</w:t>
      </w:r>
      <w:r w:rsidR="00DB7D41" w:rsidRPr="00DB7D41">
        <w:rPr>
          <w:rFonts w:ascii="Arial" w:hAnsi="Arial" w:cs="Arial"/>
          <w:highlight w:val="yellow"/>
        </w:rPr>
        <w:t>5</w:t>
      </w:r>
      <w:r w:rsidR="00D22E75" w:rsidRPr="00DB7D41">
        <w:rPr>
          <w:rFonts w:ascii="Arial" w:hAnsi="Arial" w:cs="Arial"/>
          <w:highlight w:val="yellow"/>
        </w:rPr>
        <w:t>,000</w:t>
      </w:r>
      <w:r w:rsidR="00D22E75" w:rsidRPr="4C80E3E9">
        <w:rPr>
          <w:rFonts w:ascii="Arial" w:hAnsi="Arial" w:cs="Arial"/>
        </w:rPr>
        <w:t xml:space="preserve"> excluding VAT the Clerk</w:t>
      </w:r>
      <w:r w:rsidR="004C5560">
        <w:rPr>
          <w:rFonts w:ascii="Arial" w:hAnsi="Arial" w:cs="Arial"/>
        </w:rPr>
        <w:t xml:space="preserve">/RFO </w:t>
      </w:r>
      <w:r w:rsidR="00D22E75" w:rsidRPr="4C80E3E9">
        <w:rPr>
          <w:rFonts w:ascii="Arial" w:hAnsi="Arial" w:cs="Arial"/>
        </w:rPr>
        <w:t xml:space="preserve">shall seek at least 3 fixed-price quotes; </w:t>
      </w:r>
    </w:p>
    <w:p w14:paraId="57298436" w14:textId="46B71C3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w:t>
      </w:r>
      <w:r w:rsidR="00DB7D41">
        <w:rPr>
          <w:rFonts w:ascii="Arial" w:hAnsi="Arial" w:cs="Arial"/>
        </w:rPr>
        <w:t>5</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88C999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4C5560">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B829E1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4C5560">
        <w:rPr>
          <w:rFonts w:ascii="Arial" w:hAnsi="Arial" w:cs="Arial"/>
        </w:rPr>
        <w:t>1000</w:t>
      </w:r>
      <w:r w:rsidRPr="009F1AF9">
        <w:rPr>
          <w:rFonts w:ascii="Arial" w:hAnsi="Arial" w:cs="Arial"/>
        </w:rPr>
        <w:t xml:space="preserve">] excluding VAT. </w:t>
      </w:r>
    </w:p>
    <w:p w14:paraId="66B160C5" w14:textId="5480C620"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4C5560">
        <w:rPr>
          <w:rFonts w:ascii="Arial" w:hAnsi="Arial" w:cs="Arial"/>
        </w:rPr>
        <w:t>3</w:t>
      </w:r>
      <w:r w:rsidRPr="009F1AF9">
        <w:rPr>
          <w:rFonts w:ascii="Arial" w:hAnsi="Arial" w:cs="Arial"/>
        </w:rPr>
        <w:t>,000 excluding VAT.</w:t>
      </w:r>
    </w:p>
    <w:p w14:paraId="3DDA5177" w14:textId="40B58C0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r w:rsidR="004C5560">
        <w:rPr>
          <w:rFonts w:ascii="Arial" w:hAnsi="Arial" w:cs="Arial"/>
        </w:rPr>
        <w:t>.</w:t>
      </w:r>
    </w:p>
    <w:p w14:paraId="3DF2815D" w14:textId="392BBB29"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0ABFEDB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5338C39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4C5560">
        <w:rPr>
          <w:rFonts w:ascii="Arial" w:hAnsi="Arial" w:cs="Arial"/>
        </w:rPr>
        <w:t>5</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3795E0E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004C5560">
        <w:rPr>
          <w:rFonts w:ascii="Arial" w:hAnsi="Arial" w:cs="Arial"/>
        </w:rPr>
        <w:t>500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3BCC6A38"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4C5560">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4C5560">
        <w:rPr>
          <w:rFonts w:ascii="Arial" w:hAnsi="Arial" w:cs="Arial"/>
          <w:highlight w:val="yellow"/>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4C5560">
        <w:rPr>
          <w:rFonts w:ascii="Arial" w:hAnsi="Arial" w:cs="Arial"/>
          <w:highlight w:val="yellow"/>
        </w:rPr>
        <w:t xml:space="preserve">cheque </w:t>
      </w:r>
      <w:r w:rsidRPr="004C5560">
        <w:rPr>
          <w:rFonts w:ascii="Arial" w:hAnsi="Arial" w:cs="Arial"/>
          <w:highlight w:val="yellow"/>
        </w:rPr>
        <w:t>signing</w:t>
      </w:r>
      <w:r w:rsidR="00F372E1" w:rsidRPr="004C5560">
        <w:rPr>
          <w:rFonts w:ascii="Arial" w:hAnsi="Arial" w:cs="Arial"/>
          <w:highlight w:val="yellow"/>
        </w:rPr>
        <w:t>.</w:t>
      </w:r>
      <w:r w:rsidR="00324654" w:rsidRPr="004C5560">
        <w:rPr>
          <w:highlight w:val="yellow"/>
        </w:rPr>
        <w:t xml:space="preserve"> </w:t>
      </w:r>
      <w:r w:rsidR="00324654" w:rsidRPr="004C5560">
        <w:rPr>
          <w:rFonts w:ascii="Arial" w:hAnsi="Arial" w:cs="Arial"/>
          <w:highlight w:val="yellow"/>
        </w:rPr>
        <w:t xml:space="preserve">Even where a purchase has been authorised, the payment must also be </w:t>
      </w:r>
      <w:commentRangeStart w:id="213"/>
      <w:r w:rsidR="00324654" w:rsidRPr="004C5560">
        <w:rPr>
          <w:rFonts w:ascii="Arial" w:hAnsi="Arial" w:cs="Arial"/>
          <w:highlight w:val="yellow"/>
        </w:rPr>
        <w:t>authorised</w:t>
      </w:r>
      <w:commentRangeEnd w:id="213"/>
      <w:r w:rsidR="004C5560">
        <w:rPr>
          <w:rStyle w:val="CommentReference"/>
        </w:rPr>
        <w:commentReference w:id="213"/>
      </w:r>
      <w:r w:rsidR="00324654" w:rsidRPr="004C5560">
        <w:rPr>
          <w:rFonts w:ascii="Arial" w:hAnsi="Arial" w:cs="Arial"/>
          <w:highlight w:val="yellow"/>
        </w:rPr>
        <w:t xml:space="preserve"> and only authorised payments shall be approved or signed to allow the funds to leave the council’s bank</w:t>
      </w:r>
      <w:r w:rsidR="00324654" w:rsidRPr="009F1AF9">
        <w:rPr>
          <w:rFonts w:ascii="Arial" w:hAnsi="Arial" w:cs="Arial"/>
        </w:rPr>
        <w:t>.</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374548D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4C5560">
        <w:rPr>
          <w:rFonts w:ascii="Arial" w:hAnsi="Arial" w:cs="Arial"/>
        </w:rPr>
        <w:t>10</w:t>
      </w:r>
      <w:r w:rsidR="00446FDF" w:rsidRPr="009F1AF9">
        <w:rPr>
          <w:rFonts w:ascii="Arial" w:hAnsi="Arial" w:cs="Arial"/>
        </w:rPr>
        <w:t>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772DE37C"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4C5560">
        <w:rPr>
          <w:rFonts w:ascii="Arial" w:hAnsi="Arial" w:cs="Arial"/>
        </w:rPr>
        <w:t>5</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490F647"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w:t>
      </w:r>
      <w:r w:rsidR="009B2323" w:rsidRPr="00415D4A">
        <w:rPr>
          <w:rFonts w:ascii="Arial" w:hAnsi="Arial" w:cs="Arial"/>
          <w:highlight w:val="yellow"/>
        </w:rPr>
        <w:t>[£</w:t>
      </w:r>
      <w:r w:rsidR="00415D4A" w:rsidRPr="00415D4A">
        <w:rPr>
          <w:rFonts w:ascii="Arial" w:hAnsi="Arial" w:cs="Arial"/>
          <w:highlight w:val="yellow"/>
        </w:rPr>
        <w:t>5</w:t>
      </w:r>
      <w:r w:rsidR="009B2323" w:rsidRPr="00415D4A">
        <w:rPr>
          <w:rFonts w:ascii="Arial" w:hAnsi="Arial" w:cs="Arial"/>
          <w:highlight w:val="yellow"/>
        </w:rPr>
        <w:t>0,000</w:t>
      </w:r>
      <w:r w:rsidR="009B2323" w:rsidRPr="009F1AF9">
        <w:rPr>
          <w:rFonts w:ascii="Arial" w:hAnsi="Arial" w:cs="Arial"/>
        </w:rPr>
        <w:t xml:space="preserve">],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4" w:name="_Toc165549958"/>
      <w:r w:rsidRPr="009F1AF9">
        <w:rPr>
          <w:rFonts w:ascii="Arial" w:hAnsi="Arial" w:cs="Arial"/>
        </w:rPr>
        <w:t>Electronic payments</w:t>
      </w:r>
      <w:bookmarkEnd w:id="214"/>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w:t>
      </w:r>
      <w:r w:rsidRPr="004C5560">
        <w:rPr>
          <w:rFonts w:ascii="Arial" w:hAnsi="Arial" w:cs="Arial"/>
          <w:highlight w:val="yellow"/>
        </w:rPr>
        <w:t xml:space="preserve">minimum of two people will be involved in any online </w:t>
      </w:r>
      <w:r w:rsidR="00146A26" w:rsidRPr="004C5560">
        <w:rPr>
          <w:rFonts w:ascii="Arial" w:hAnsi="Arial" w:cs="Arial"/>
          <w:highlight w:val="yellow"/>
        </w:rPr>
        <w:t>approval</w:t>
      </w:r>
      <w:r w:rsidRPr="004C5560">
        <w:rPr>
          <w:rFonts w:ascii="Arial" w:hAnsi="Arial" w:cs="Arial"/>
          <w:highlight w:val="yellow"/>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5" w:name="_Toc165549959"/>
      <w:r w:rsidRPr="009F1AF9">
        <w:rPr>
          <w:rFonts w:ascii="Arial" w:hAnsi="Arial" w:cs="Arial"/>
        </w:rPr>
        <w:t>Cheque payments</w:t>
      </w:r>
      <w:bookmarkEnd w:id="215"/>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554996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2B818385" w14:textId="072CC5C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w:t>
      </w:r>
      <w:r w:rsidR="00C00B70">
        <w:rPr>
          <w:rFonts w:ascii="Arial" w:hAnsi="Arial" w:cs="Arial"/>
        </w:rPr>
        <w:t>/</w:t>
      </w:r>
      <w:r w:rsidRPr="009F1AF9">
        <w:rPr>
          <w:rFonts w:ascii="Arial" w:hAnsi="Arial" w:cs="Arial"/>
        </w:rPr>
        <w:t xml:space="preserve">RFO] and will also be restricted to a single transaction maximum value of </w:t>
      </w:r>
      <w:r w:rsidRPr="00415D4A">
        <w:rPr>
          <w:rFonts w:ascii="Arial" w:hAnsi="Arial" w:cs="Arial"/>
          <w:highlight w:val="yellow"/>
        </w:rPr>
        <w:t>[£</w:t>
      </w:r>
      <w:r w:rsidR="00C00B70">
        <w:rPr>
          <w:rFonts w:ascii="Arial" w:hAnsi="Arial" w:cs="Arial"/>
          <w:highlight w:val="yellow"/>
        </w:rPr>
        <w:t>15</w:t>
      </w:r>
      <w:r w:rsidRPr="00415D4A">
        <w:rPr>
          <w:rFonts w:ascii="Arial" w:hAnsi="Arial" w:cs="Arial"/>
          <w:highlight w:val="yellow"/>
        </w:rPr>
        <w:t>00</w:t>
      </w:r>
      <w:r w:rsidRPr="009F1AF9">
        <w:rPr>
          <w:rFonts w:ascii="Arial" w:hAnsi="Arial" w:cs="Arial"/>
        </w:rPr>
        <w:t>]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58F2666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146C7C9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w:t>
      </w:r>
      <w:r w:rsidR="00C00B70">
        <w:rPr>
          <w:rFonts w:ascii="Arial" w:hAnsi="Arial" w:cs="Arial"/>
        </w:rPr>
        <w:t>750</w:t>
      </w:r>
      <w:r w:rsidRPr="009F1AF9">
        <w:rPr>
          <w:rFonts w:ascii="Arial" w:hAnsi="Arial" w:cs="Arial"/>
        </w:rPr>
        <w:t>] including VAT, incurred in accordance with council policy.</w:t>
      </w:r>
    </w:p>
    <w:p w14:paraId="4F21DED7" w14:textId="4146431B" w:rsidR="00715299" w:rsidRPr="009F1AF9" w:rsidRDefault="00715299" w:rsidP="009F1AF9">
      <w:pPr>
        <w:pStyle w:val="Heading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554996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t>Petty Cash</w:t>
      </w:r>
      <w:bookmarkEnd w:id="328"/>
    </w:p>
    <w:p w14:paraId="1A9759F6" w14:textId="388AA410"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w:t>
      </w:r>
      <w:r w:rsidR="00412BE2" w:rsidRPr="009F1AF9">
        <w:rPr>
          <w:rFonts w:ascii="Arial" w:hAnsi="Arial" w:cs="Arial"/>
        </w:rPr>
        <w:t xml:space="preserve"> </w:t>
      </w:r>
      <w:r w:rsidR="009E68C5"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9" w:name="_Toc165194563"/>
      <w:bookmarkStart w:id="330" w:name="_Toc165238393"/>
      <w:bookmarkStart w:id="331" w:name="_Toc165238485"/>
      <w:bookmarkStart w:id="332" w:name="_Toc165549962"/>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w:t>
      </w:r>
      <w:r w:rsidR="004B516E" w:rsidRPr="009F1AF9">
        <w:rPr>
          <w:rFonts w:ascii="Arial" w:eastAsia="Calibri" w:hAnsi="Arial" w:cs="Arial"/>
        </w:rPr>
        <w:lastRenderedPageBreak/>
        <w:t>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3" w:name="_Toc165549963"/>
      <w:r w:rsidRPr="009F1AF9">
        <w:rPr>
          <w:rFonts w:ascii="Arial" w:hAnsi="Arial" w:cs="Arial"/>
        </w:rPr>
        <w:t>Loans and investments</w:t>
      </w:r>
      <w:bookmarkEnd w:id="333"/>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4" w:name="_Toc165549964"/>
      <w:r w:rsidRPr="009F1AF9">
        <w:rPr>
          <w:rFonts w:ascii="Arial" w:hAnsi="Arial" w:cs="Arial"/>
        </w:rPr>
        <w:t>Income</w:t>
      </w:r>
      <w:bookmarkEnd w:id="334"/>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3C1830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software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w:t>
      </w:r>
      <w:r w:rsidR="00C00B70">
        <w:rPr>
          <w:rFonts w:ascii="Arial" w:hAnsi="Arial" w:cs="Arial"/>
        </w:rPr>
        <w:t>500</w:t>
      </w:r>
      <w:r w:rsidR="002C6B5D" w:rsidRPr="009F1AF9">
        <w:rPr>
          <w:rFonts w:ascii="Arial" w:hAnsi="Arial" w:cs="Arial"/>
        </w:rPr>
        <w:t xml:space="preserve">]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5549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F1AF9">
        <w:rPr>
          <w:rFonts w:ascii="Arial" w:hAnsi="Arial" w:cs="Arial"/>
        </w:rPr>
        <w:t>Payments under contracts for building or other construction works</w:t>
      </w:r>
      <w:bookmarkEnd w:id="503"/>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4" w:name="_Toc165549966"/>
      <w:r w:rsidRPr="009F1AF9">
        <w:rPr>
          <w:rFonts w:ascii="Arial" w:hAnsi="Arial" w:cs="Arial"/>
        </w:rPr>
        <w:t>Stores and equipment</w:t>
      </w:r>
      <w:bookmarkEnd w:id="504"/>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5" w:name="_Toc165549967"/>
      <w:r w:rsidRPr="009F1AF9">
        <w:rPr>
          <w:rFonts w:ascii="Arial" w:hAnsi="Arial" w:cs="Arial"/>
        </w:rPr>
        <w:t>Assets, properties and estates</w:t>
      </w:r>
      <w:bookmarkEnd w:id="505"/>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6" w:name="_Hlk164801566"/>
      <w:r w:rsidRPr="009F1AF9">
        <w:rPr>
          <w:rFonts w:ascii="Arial" w:hAnsi="Arial" w:cs="Arial"/>
        </w:rPr>
        <w:t xml:space="preserve">written report </w:t>
      </w:r>
      <w:bookmarkEnd w:id="506"/>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7" w:name="_Toc165549968"/>
      <w:r w:rsidRPr="009F1AF9">
        <w:rPr>
          <w:rFonts w:ascii="Arial" w:hAnsi="Arial" w:cs="Arial"/>
        </w:rPr>
        <w:t>Insurance</w:t>
      </w:r>
      <w:bookmarkEnd w:id="507"/>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8" w:name="_Toc165549969"/>
      <w:r w:rsidRPr="009F1AF9">
        <w:rPr>
          <w:rFonts w:ascii="Arial" w:hAnsi="Arial" w:cs="Arial"/>
        </w:rPr>
        <w:t>[Charities]</w:t>
      </w:r>
      <w:bookmarkEnd w:id="508"/>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9" w:name="_Toc165549970"/>
      <w:r w:rsidRPr="009F1AF9">
        <w:rPr>
          <w:rFonts w:ascii="Arial" w:hAnsi="Arial" w:cs="Arial"/>
        </w:rPr>
        <w:t>Suspension and revision of Financial Regulations</w:t>
      </w:r>
      <w:bookmarkEnd w:id="509"/>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10" w:name="_Hlk164865589"/>
    </w:p>
    <w:p w14:paraId="6FEB153C" w14:textId="77777777" w:rsidR="001B6977" w:rsidRPr="009F1AF9" w:rsidRDefault="001B6977" w:rsidP="009F1AF9">
      <w:pPr>
        <w:rPr>
          <w:rFonts w:ascii="Arial" w:hAnsi="Arial" w:cs="Arial"/>
          <w:b/>
        </w:rPr>
      </w:pPr>
      <w:bookmarkStart w:id="511"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2"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1"/>
      <w:bookmarkEnd w:id="512"/>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10"/>
    </w:p>
    <w:sectPr w:rsidR="006704CE" w:rsidRPr="009F1AF9" w:rsidSect="003F575F">
      <w:headerReference w:type="default" r:id="rId16"/>
      <w:type w:val="continuous"/>
      <w:pgSz w:w="11906" w:h="16838"/>
      <w:pgMar w:top="1843" w:right="1440" w:bottom="1440" w:left="1440" w:header="96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3" w:author="Kate Fullerton" w:date="2025-05-08T10:20:00Z" w:initials="KF">
    <w:p w14:paraId="2C13AA28" w14:textId="77777777" w:rsidR="004C5560" w:rsidRDefault="004C5560" w:rsidP="004C5560">
      <w:pPr>
        <w:pStyle w:val="CommentText"/>
      </w:pPr>
      <w:r>
        <w:rPr>
          <w:rStyle w:val="CommentReference"/>
        </w:rPr>
        <w:annotationRef/>
      </w:r>
      <w:r>
        <w:t>We should have dual authorisation - so two councillors to authorise BACS payments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13AA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A43A64" w16cex:dateUtc="2025-05-08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13AA28" w16cid:durableId="32A43A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4262" w14:textId="77777777" w:rsidR="000D70E0" w:rsidRDefault="000D70E0" w:rsidP="00225AAB">
      <w:r>
        <w:separator/>
      </w:r>
    </w:p>
  </w:endnote>
  <w:endnote w:type="continuationSeparator" w:id="0">
    <w:p w14:paraId="6EF45E1E" w14:textId="77777777" w:rsidR="000D70E0" w:rsidRDefault="000D70E0" w:rsidP="00225AAB">
      <w:r>
        <w:continuationSeparator/>
      </w:r>
    </w:p>
  </w:endnote>
  <w:endnote w:type="continuationNotice" w:id="1">
    <w:p w14:paraId="2E483922" w14:textId="77777777" w:rsidR="000D70E0" w:rsidRDefault="000D7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77D2" w14:textId="77777777" w:rsidR="000D70E0" w:rsidRDefault="000D70E0" w:rsidP="00225AAB">
      <w:r>
        <w:separator/>
      </w:r>
    </w:p>
  </w:footnote>
  <w:footnote w:type="continuationSeparator" w:id="0">
    <w:p w14:paraId="49197F22" w14:textId="77777777" w:rsidR="000D70E0" w:rsidRDefault="000D70E0" w:rsidP="00225AAB">
      <w:r>
        <w:continuationSeparator/>
      </w:r>
    </w:p>
  </w:footnote>
  <w:footnote w:type="continuationNotice" w:id="1">
    <w:p w14:paraId="1477BD07" w14:textId="77777777" w:rsidR="000D70E0" w:rsidRDefault="000D70E0">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Fullerton">
    <w15:presenceInfo w15:providerId="AD" w15:userId="S::Katefullerton@StokeTristerParishCouncil.onmicrosoft.com::1941660c-d221-4248-b391-2dc96ecc3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878E1"/>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D70E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2BB9"/>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8B8"/>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5D4A"/>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42E"/>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5560"/>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1E48"/>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75681"/>
    <w:rsid w:val="00880115"/>
    <w:rsid w:val="008809FA"/>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4CE9"/>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66A7"/>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97A37"/>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B70"/>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71D"/>
    <w:rsid w:val="00C90C96"/>
    <w:rsid w:val="00C910AB"/>
    <w:rsid w:val="00C92890"/>
    <w:rsid w:val="00C93E84"/>
    <w:rsid w:val="00CA1584"/>
    <w:rsid w:val="00CA2930"/>
    <w:rsid w:val="00CA3A0E"/>
    <w:rsid w:val="00CA3E1A"/>
    <w:rsid w:val="00CB085E"/>
    <w:rsid w:val="00CB341A"/>
    <w:rsid w:val="00CB3AD4"/>
    <w:rsid w:val="00CB4494"/>
    <w:rsid w:val="00CB48B3"/>
    <w:rsid w:val="00CC0CE4"/>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B7D41"/>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1E09"/>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4FB6"/>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A661C"/>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4C5560"/>
    <w:rPr>
      <w:sz w:val="16"/>
      <w:szCs w:val="16"/>
    </w:rPr>
  </w:style>
  <w:style w:type="paragraph" w:styleId="CommentText">
    <w:name w:val="annotation text"/>
    <w:basedOn w:val="Normal"/>
    <w:link w:val="CommentTextChar"/>
    <w:uiPriority w:val="99"/>
    <w:unhideWhenUsed/>
    <w:rsid w:val="004C5560"/>
    <w:pPr>
      <w:spacing w:line="240" w:lineRule="auto"/>
    </w:pPr>
    <w:rPr>
      <w:sz w:val="20"/>
      <w:szCs w:val="20"/>
    </w:rPr>
  </w:style>
  <w:style w:type="character" w:customStyle="1" w:styleId="CommentTextChar">
    <w:name w:val="Comment Text Char"/>
    <w:basedOn w:val="DefaultParagraphFont"/>
    <w:link w:val="CommentText"/>
    <w:uiPriority w:val="99"/>
    <w:rsid w:val="004C5560"/>
    <w:rPr>
      <w:sz w:val="20"/>
      <w:szCs w:val="20"/>
    </w:rPr>
  </w:style>
  <w:style w:type="paragraph" w:styleId="CommentSubject">
    <w:name w:val="annotation subject"/>
    <w:basedOn w:val="CommentText"/>
    <w:next w:val="CommentText"/>
    <w:link w:val="CommentSubjectChar"/>
    <w:uiPriority w:val="99"/>
    <w:semiHidden/>
    <w:unhideWhenUsed/>
    <w:rsid w:val="004C5560"/>
    <w:rPr>
      <w:b/>
      <w:bCs/>
    </w:rPr>
  </w:style>
  <w:style w:type="character" w:customStyle="1" w:styleId="CommentSubjectChar">
    <w:name w:val="Comment Subject Char"/>
    <w:basedOn w:val="CommentTextChar"/>
    <w:link w:val="CommentSubject"/>
    <w:uiPriority w:val="99"/>
    <w:semiHidden/>
    <w:rsid w:val="004C5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6501</Words>
  <Characters>37058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Kate Fullerton</cp:lastModifiedBy>
  <cp:revision>4</cp:revision>
  <cp:lastPrinted>2025-05-08T09:06:00Z</cp:lastPrinted>
  <dcterms:created xsi:type="dcterms:W3CDTF">2024-05-16T15:56:00Z</dcterms:created>
  <dcterms:modified xsi:type="dcterms:W3CDTF">2025-05-08T09:30:00Z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GrammarlyDocumentId">
    <vt:lpwstr>a55cf7e58f8bfe9497a1a0221d4f5cdfab1fe12c9fb58d61b0309c7c4d25e39f</vt:lpwstr>
  </property>
</Properties>
</file>